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ED" w:rsidRPr="00D25952" w:rsidRDefault="000F7CED" w:rsidP="000F7CED">
      <w:pPr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En el Hotel Fiesta </w:t>
      </w:r>
      <w:proofErr w:type="spellStart"/>
      <w:r w:rsidRPr="00D25952">
        <w:rPr>
          <w:rFonts w:ascii="Arial" w:hAnsi="Arial" w:cs="Arial"/>
          <w:sz w:val="22"/>
          <w:szCs w:val="22"/>
        </w:rPr>
        <w:t>Inn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de La ciudad de Monclova, Coahuila de Zaragoza siendo las 9</w:t>
      </w:r>
      <w:r>
        <w:rPr>
          <w:rFonts w:ascii="Arial" w:hAnsi="Arial" w:cs="Arial"/>
          <w:sz w:val="22"/>
          <w:szCs w:val="22"/>
        </w:rPr>
        <w:t>:2</w:t>
      </w:r>
      <w:r w:rsidRPr="00D25952">
        <w:rPr>
          <w:rFonts w:ascii="Arial" w:hAnsi="Arial" w:cs="Arial"/>
          <w:sz w:val="22"/>
          <w:szCs w:val="22"/>
        </w:rPr>
        <w:t xml:space="preserve">0 horas del </w:t>
      </w:r>
      <w:proofErr w:type="gramStart"/>
      <w:r w:rsidRPr="00D25952">
        <w:rPr>
          <w:rFonts w:ascii="Arial" w:hAnsi="Arial" w:cs="Arial"/>
          <w:sz w:val="22"/>
          <w:szCs w:val="22"/>
        </w:rPr>
        <w:t xml:space="preserve">día </w:t>
      </w:r>
      <w:r w:rsidRPr="00D2595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artes</w:t>
      </w:r>
      <w:r w:rsidRPr="00D25952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1</w:t>
      </w:r>
      <w:r w:rsidRPr="00D25952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Febrero</w:t>
      </w:r>
      <w:proofErr w:type="gramEnd"/>
      <w:r w:rsidRPr="00D25952">
        <w:rPr>
          <w:rFonts w:ascii="Arial" w:hAnsi="Arial" w:cs="Arial"/>
          <w:b/>
          <w:sz w:val="22"/>
          <w:szCs w:val="22"/>
        </w:rPr>
        <w:t xml:space="preserve"> de 2017,</w:t>
      </w:r>
      <w:r w:rsidRPr="00D25952">
        <w:rPr>
          <w:rFonts w:ascii="Arial" w:hAnsi="Arial" w:cs="Arial"/>
          <w:sz w:val="22"/>
          <w:szCs w:val="22"/>
        </w:rPr>
        <w:t xml:space="preserve"> se reunieron los C. Lic. Gerardo García Castillo, Lic. Amador Moreno López, Ing. Carlos R. Rodriguez Gallegos, Ing. Arturo Castellanos Cruz, </w:t>
      </w:r>
      <w:r>
        <w:rPr>
          <w:rFonts w:ascii="Arial" w:hAnsi="Arial" w:cs="Arial"/>
          <w:sz w:val="22"/>
          <w:szCs w:val="22"/>
        </w:rPr>
        <w:t xml:space="preserve">Lic. Omar Díaz Mirón Rodríguez, </w:t>
      </w:r>
      <w:r w:rsidRPr="00D25952">
        <w:rPr>
          <w:rFonts w:ascii="Arial" w:hAnsi="Arial" w:cs="Arial"/>
          <w:sz w:val="22"/>
          <w:szCs w:val="22"/>
        </w:rPr>
        <w:t xml:space="preserve">Lic. Adalberto Varela Armendáriz, Ing. Ricardo Góngora Ramírez, Ing. Raúl Eduardo Fuentes Hernández, Ing. Antonio Álvarez Rodriguez, </w:t>
      </w:r>
      <w:r>
        <w:rPr>
          <w:rFonts w:ascii="Arial" w:hAnsi="Arial" w:cs="Arial"/>
          <w:sz w:val="22"/>
          <w:szCs w:val="22"/>
        </w:rPr>
        <w:t xml:space="preserve">Ing. César A. Martínez Rodríguez, </w:t>
      </w:r>
      <w:r w:rsidRPr="00D25952">
        <w:rPr>
          <w:rFonts w:ascii="Arial" w:hAnsi="Arial" w:cs="Arial"/>
          <w:sz w:val="22"/>
          <w:szCs w:val="22"/>
        </w:rPr>
        <w:t xml:space="preserve">Lic. Esteban Martín Blackaller Rosas, Ing. Maurilio Romo Rodríguez, Lic. Ricardo Gutiérrez González, </w:t>
      </w:r>
      <w:r>
        <w:rPr>
          <w:rFonts w:ascii="Arial" w:hAnsi="Arial" w:cs="Arial"/>
          <w:sz w:val="22"/>
          <w:szCs w:val="22"/>
        </w:rPr>
        <w:t xml:space="preserve">C. Agustín Ramos Pérez, </w:t>
      </w:r>
      <w:r w:rsidRPr="00D25952">
        <w:rPr>
          <w:rFonts w:ascii="Arial" w:hAnsi="Arial" w:cs="Arial"/>
          <w:sz w:val="22"/>
          <w:szCs w:val="22"/>
        </w:rPr>
        <w:t xml:space="preserve">Lic. Baltazar Cisneros Ortiz, C. Julio Alonso Martín Vidal,  Ing. Andrés </w:t>
      </w:r>
      <w:proofErr w:type="spellStart"/>
      <w:r w:rsidRPr="00D25952">
        <w:rPr>
          <w:rFonts w:ascii="Arial" w:hAnsi="Arial" w:cs="Arial"/>
          <w:sz w:val="22"/>
          <w:szCs w:val="22"/>
        </w:rPr>
        <w:t>Oyervides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Ramírez, Lic. Juan Alberto Lira Zapata</w:t>
      </w:r>
      <w:r w:rsidR="00086416">
        <w:rPr>
          <w:rFonts w:ascii="Arial" w:hAnsi="Arial" w:cs="Arial"/>
          <w:sz w:val="22"/>
          <w:szCs w:val="22"/>
        </w:rPr>
        <w:t>,</w:t>
      </w:r>
      <w:r w:rsidRPr="00D25952">
        <w:rPr>
          <w:rFonts w:ascii="Arial" w:hAnsi="Arial" w:cs="Arial"/>
          <w:sz w:val="22"/>
          <w:szCs w:val="22"/>
        </w:rPr>
        <w:t xml:space="preserve"> C. Pedro Carreón Rodríguez, C.P.C. Juan Carlos Terrazas Hernández y el C.P. Darío Castellanos Robles,  todos miembros del Consejo Directivo del SIMAS y por parte del Sistema el Ing. Mario Eduardo Zamudio Miechielsen en su carácter de Gerente así como invitados especiales los señores: Romeo Villareal Thomae, C.P. Jesús Teodoro Mesón Haro, Ing. José Abel de Luna Romo e Ing. Ricardo Vázquez Falcón, a efecto de llevar a cabo la Sesión del Consejo Directivo del Sistema Intermunicipal de Aguas y Saneamiento de Monclova y Frontera, Coahuila bajo el siguiente:</w:t>
      </w:r>
    </w:p>
    <w:p w:rsidR="000F7CED" w:rsidRPr="00D25952" w:rsidRDefault="000F7CED" w:rsidP="000F7CED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0F7CED" w:rsidRPr="00D25952" w:rsidRDefault="000F7CED" w:rsidP="000F7CED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0F7CED" w:rsidRPr="00D25952" w:rsidRDefault="000F7CED" w:rsidP="000F7CED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2.- Bienvenida por el Presidente del Consejo, Lic. Gerardo García Castillo.</w:t>
      </w:r>
    </w:p>
    <w:p w:rsidR="000F7CED" w:rsidRPr="00D25952" w:rsidRDefault="000F7CED" w:rsidP="000F7CED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Lic. Esteban Martín Blackaller Rosas.</w:t>
      </w:r>
    </w:p>
    <w:p w:rsidR="000F7CED" w:rsidRPr="00D25952" w:rsidRDefault="000F7CED" w:rsidP="000F7CED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Lic. Esteban Martín Blackaller Rosas. Informe de actividades correspondiente al mes de </w:t>
      </w:r>
      <w:r w:rsidRPr="00076B70">
        <w:rPr>
          <w:rFonts w:ascii="Arial" w:hAnsi="Arial" w:cs="Arial"/>
          <w:b/>
          <w:sz w:val="22"/>
          <w:szCs w:val="22"/>
          <w:u w:val="single"/>
        </w:rPr>
        <w:t>Enero del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0F7CED" w:rsidRPr="00D25952" w:rsidRDefault="000F7CED" w:rsidP="000F7CED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0F7CED" w:rsidRPr="00D25952" w:rsidRDefault="000F7CED" w:rsidP="000F7CED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0F7CED" w:rsidRPr="00D25952" w:rsidRDefault="000F7CED" w:rsidP="000F7CED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:rsidR="000F7CED" w:rsidRPr="00D25952" w:rsidRDefault="000F7CED" w:rsidP="000F7CED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>Lic. Esteban M. Blackaller Rosas:</w:t>
      </w:r>
    </w:p>
    <w:p w:rsidR="000F7CED" w:rsidRPr="00D25952" w:rsidRDefault="000F7CED" w:rsidP="000F7CED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Buenos días vamos a dar inicio a la sesión de Consejo de Simas, tenemos el orden del día y como primer punto la toma de asistencia; habiendo quórum suficiente para que se lleve a cabo dicha sesión iniciamos con la bienvenida por parte del presidente del Consejo Lic. Gerardo García Castillo.</w:t>
      </w:r>
    </w:p>
    <w:p w:rsidR="000F7CED" w:rsidRPr="00D25952" w:rsidRDefault="000F7CED" w:rsidP="000F7CED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0F7CED" w:rsidRPr="00D25952" w:rsidRDefault="000F7CED" w:rsidP="000F7CED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>Lic.  Gerardo García Castillo:</w:t>
      </w:r>
    </w:p>
    <w:p w:rsidR="000F7CED" w:rsidRDefault="000F7CED" w:rsidP="000F7CED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Buenos días a todos ustedes les agradezco su presencia y agradecerle también a todos y cada uno de los colaboradores del Ing. Zamudio en al área del  Sistema Intermunicipal de Aguas de Monclova y Frontera porque cada día vemos que los avances se van  consolidando en servicios, infraestructura, finanzas, y eso nos garantiza un mejor servicio a los usuarios cada vez tenemos menos falta de agua en la ciudad. Lo único que tenemos como problema son las deficiencias en la reposición de la tubería que son debido a las zanjas pero eso no se puede evitar. Mi  reconocimiento y agradecimiento a cada uno de ustedes 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376"/>
        <w:gridCol w:w="271"/>
      </w:tblGrid>
      <w:tr w:rsidR="000F7CED" w:rsidRPr="00D25952" w:rsidTr="00AC0D69">
        <w:trPr>
          <w:gridBefore w:val="1"/>
          <w:gridAfter w:val="1"/>
          <w:wBefore w:w="354" w:type="dxa"/>
          <w:wAfter w:w="271" w:type="dxa"/>
          <w:trHeight w:val="37"/>
        </w:trPr>
        <w:tc>
          <w:tcPr>
            <w:tcW w:w="8376" w:type="dxa"/>
          </w:tcPr>
          <w:p w:rsidR="000F7CED" w:rsidRPr="00D25952" w:rsidRDefault="000F7CED" w:rsidP="00AC0D69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CED" w:rsidRPr="00D25952" w:rsidTr="00AC0D69">
        <w:trPr>
          <w:trHeight w:val="37"/>
        </w:trPr>
        <w:tc>
          <w:tcPr>
            <w:tcW w:w="8931" w:type="dxa"/>
            <w:gridSpan w:val="3"/>
          </w:tcPr>
          <w:p w:rsidR="000F7CED" w:rsidRPr="00D25952" w:rsidRDefault="000F7CED" w:rsidP="00AC0D69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Lic. Esteban M. Blackaller Rosas:</w:t>
            </w: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D25952">
              <w:rPr>
                <w:rFonts w:ascii="Arial" w:hAnsi="Arial" w:cs="Arial"/>
                <w:sz w:val="22"/>
                <w:szCs w:val="22"/>
              </w:rPr>
              <w:t xml:space="preserve"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 </w:t>
            </w:r>
            <w:r w:rsidRPr="000248AA">
              <w:rPr>
                <w:rFonts w:ascii="Arial" w:hAnsi="Arial" w:cs="Arial"/>
                <w:b/>
                <w:sz w:val="22"/>
                <w:szCs w:val="22"/>
                <w:u w:val="single"/>
              </w:rPr>
              <w:t>Enero</w:t>
            </w:r>
            <w:r w:rsidRPr="00D2595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Enero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0F7CED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El ingreso de agua y drenaje sin IVA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$15,881,000.</w:t>
            </w:r>
            <w:r w:rsidR="00BF4E53">
              <w:rPr>
                <w:rFonts w:ascii="Arial" w:hAnsi="Arial" w:cs="Arial"/>
                <w:sz w:val="22"/>
                <w:szCs w:val="22"/>
                <w:lang w:val="es-MX"/>
              </w:rPr>
              <w:t>00</w:t>
            </w:r>
          </w:p>
          <w:p w:rsidR="000F7CED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El comportamiento de los usuarios puntuales por trimestre de noviembre 2016 a enero 2017 fue de 74,610 con un cumplimiento del 80.24%.</w:t>
            </w:r>
          </w:p>
          <w:p w:rsidR="000F7CED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continúa con el programa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 Col. Carlos Salinas de Gortari, San Salvador y Elsa Hernandez de Frontera, col. 1º de Mayo y Cd. Deportiva.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programa Cultura del agua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estuvieron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E5079">
              <w:rPr>
                <w:rFonts w:ascii="Arial" w:hAnsi="Arial" w:cs="Arial"/>
                <w:sz w:val="22"/>
                <w:szCs w:val="22"/>
                <w:lang w:val="es-MX"/>
              </w:rPr>
              <w:t xml:space="preserve">en las escuelas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José González Ballesteros, Julia Cantú, Club de Leones, 15 de Marzo.</w:t>
            </w:r>
          </w:p>
          <w:p w:rsidR="005065CA" w:rsidRDefault="005065CA" w:rsidP="00AC0D6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2E5CC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Enero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0F7CED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Enero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enero del 2017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123E24">
              <w:rPr>
                <w:rFonts w:ascii="Arial" w:hAnsi="Arial" w:cs="Arial"/>
                <w:sz w:val="22"/>
                <w:szCs w:val="22"/>
                <w:lang w:val="es-MX"/>
              </w:rPr>
              <w:t xml:space="preserve">se obtuvo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un total de ingresos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18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,918,000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egresos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16,483,000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flujo neto de operación positivo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2,435,000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que sumado al saldo inicial </w:t>
            </w:r>
            <w:r w:rsidR="00123E24">
              <w:rPr>
                <w:rFonts w:ascii="Arial" w:hAnsi="Arial" w:cs="Arial"/>
                <w:sz w:val="22"/>
                <w:szCs w:val="22"/>
                <w:lang w:val="es-MX"/>
              </w:rPr>
              <w:t xml:space="preserve">se obtuvo un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saldo disponible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14,626,000.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gram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derechos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a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Conagua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3,038,000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e inversión de activos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2,360,000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obteniendo al final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del periodo en caja y bancos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9,228,000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un total de Activo Circulante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,725,000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un total de </w:t>
            </w:r>
            <w:r w:rsidRPr="00D25952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Activo Fijo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313,193,000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diferido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906,000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activo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345,824,000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F7CED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Un pasivo a corto plazo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20,864,000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el pasivo contingente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56,177,000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total del pasivo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77,041,000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 el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86,305,000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Prodder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127,020,000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Prome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y Prodi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6,331,000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Resultado de Ejercicios anteriores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47,922,000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resultado del ejercicio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1,205,000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268,783,000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y 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345,824,000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solicitó la aprobación de los miembros del Consejo Directivo la información de actividades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Enero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7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área de Administración y Finanzas, lo cual fue aprobado por unanimidad.</w:t>
            </w:r>
          </w:p>
        </w:tc>
      </w:tr>
      <w:tr w:rsidR="000F7CED" w:rsidRPr="00D25952" w:rsidTr="00AC0D69">
        <w:tblPrEx>
          <w:tblLook w:val="0000" w:firstRow="0" w:lastRow="0" w:firstColumn="0" w:lastColumn="0" w:noHBand="0" w:noVBand="0"/>
        </w:tblPrEx>
        <w:trPr>
          <w:gridAfter w:val="1"/>
          <w:wAfter w:w="271" w:type="dxa"/>
          <w:trHeight w:val="37"/>
        </w:trPr>
        <w:tc>
          <w:tcPr>
            <w:tcW w:w="8660" w:type="dxa"/>
            <w:gridSpan w:val="2"/>
          </w:tcPr>
          <w:p w:rsidR="000F7CED" w:rsidRPr="00D25952" w:rsidRDefault="000F7CED" w:rsidP="00AC0D69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CED" w:rsidRPr="00D25952" w:rsidTr="00AC0D69">
        <w:tblPrEx>
          <w:tblLook w:val="0000" w:firstRow="0" w:lastRow="0" w:firstColumn="0" w:lastColumn="0" w:noHBand="0" w:noVBand="0"/>
        </w:tblPrEx>
        <w:trPr>
          <w:trHeight w:val="37"/>
        </w:trPr>
        <w:tc>
          <w:tcPr>
            <w:tcW w:w="8931" w:type="dxa"/>
            <w:gridSpan w:val="3"/>
          </w:tcPr>
          <w:p w:rsidR="000F7CED" w:rsidRPr="00D25952" w:rsidRDefault="000F7CED" w:rsidP="00AC0D6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José Abel de Luna Romo, presentó el informe del área Técnica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Enero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743755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mes fue de 2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,826,233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m3 </w:t>
            </w:r>
            <w:r w:rsidR="00743755">
              <w:rPr>
                <w:rFonts w:ascii="Arial" w:hAnsi="Arial" w:cs="Arial"/>
                <w:sz w:val="22"/>
                <w:szCs w:val="22"/>
                <w:lang w:val="es-MX"/>
              </w:rPr>
              <w:t xml:space="preserve">y un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consumo </w:t>
            </w:r>
            <w:r w:rsidR="00BF7F4F">
              <w:rPr>
                <w:rFonts w:ascii="Arial" w:hAnsi="Arial" w:cs="Arial"/>
                <w:sz w:val="22"/>
                <w:szCs w:val="22"/>
                <w:lang w:val="es-MX"/>
              </w:rPr>
              <w:t xml:space="preserve">de energía fue de 1,475,844 </w:t>
            </w:r>
            <w:proofErr w:type="spellStart"/>
            <w:r w:rsidR="00BF7F4F"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 w:rsidR="00BF7F4F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En cuanto a 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</w:p>
          <w:p w:rsidR="000F7CED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044C0">
              <w:rPr>
                <w:rFonts w:ascii="Arial" w:hAnsi="Arial" w:cs="Arial"/>
                <w:sz w:val="22"/>
                <w:szCs w:val="22"/>
                <w:lang w:val="es-MX"/>
              </w:rPr>
              <w:t>Construcción de base de concreto y banqueta peatonal para protección de tubería de acer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o</w:t>
            </w:r>
            <w:r w:rsidRPr="00A044C0">
              <w:rPr>
                <w:rFonts w:ascii="Arial" w:hAnsi="Arial" w:cs="Arial"/>
                <w:sz w:val="22"/>
                <w:szCs w:val="22"/>
                <w:lang w:val="es-MX"/>
              </w:rPr>
              <w:t xml:space="preserve"> de 30” de diámetro ubicada en </w:t>
            </w:r>
            <w:proofErr w:type="spellStart"/>
            <w:r w:rsidRPr="00A044C0">
              <w:rPr>
                <w:rFonts w:ascii="Arial" w:hAnsi="Arial" w:cs="Arial"/>
                <w:sz w:val="22"/>
                <w:szCs w:val="22"/>
                <w:lang w:val="es-MX"/>
              </w:rPr>
              <w:t>Bl</w:t>
            </w:r>
            <w:r w:rsidRPr="00A044C0">
              <w:rPr>
                <w:rFonts w:ascii="Arial" w:hAnsi="Arial" w:cs="Arial"/>
                <w:sz w:val="22"/>
                <w:szCs w:val="22"/>
              </w:rPr>
              <w:t>vd.</w:t>
            </w:r>
            <w:proofErr w:type="spellEnd"/>
            <w:r w:rsidRPr="00A044C0">
              <w:rPr>
                <w:rFonts w:ascii="Arial" w:hAnsi="Arial" w:cs="Arial"/>
                <w:sz w:val="22"/>
                <w:szCs w:val="22"/>
              </w:rPr>
              <w:t xml:space="preserve"> B. Juárez entre calle Libertad y calle Oriental sobre el puente del arroyo, en Cd. Frontera, </w:t>
            </w:r>
            <w:proofErr w:type="spellStart"/>
            <w:r w:rsidRPr="00A044C0">
              <w:rPr>
                <w:rFonts w:ascii="Arial" w:hAnsi="Arial" w:cs="Arial"/>
                <w:sz w:val="22"/>
                <w:szCs w:val="22"/>
              </w:rPr>
              <w:t>Coah</w:t>
            </w:r>
            <w:proofErr w:type="spellEnd"/>
            <w:r w:rsidRPr="00A044C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A044C0">
              <w:rPr>
                <w:rFonts w:ascii="Arial" w:hAnsi="Arial" w:cs="Arial"/>
                <w:sz w:val="22"/>
                <w:szCs w:val="22"/>
              </w:rPr>
              <w:t>con</w:t>
            </w:r>
            <w:proofErr w:type="gramEnd"/>
            <w:r w:rsidRPr="00A044C0">
              <w:rPr>
                <w:rFonts w:ascii="Arial" w:hAnsi="Arial" w:cs="Arial"/>
                <w:sz w:val="22"/>
                <w:szCs w:val="22"/>
              </w:rPr>
              <w:t xml:space="preserve"> una inversión de $115,411.51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F7CED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Construcción de 2,200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de línea de aguas negras con tubería de acero al carbón de 14” de diámetro, en salida emisor en Estancias de San Juan Bautista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., con una inversión de $974,418.55. </w:t>
            </w:r>
          </w:p>
          <w:p w:rsidR="000F7CED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Reposición de 233 ml. de subcolector de 16” y descarga en calle Juárez entre calles Libertad y presidente Carranza Zona Centro de Frontera,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., con una inversión de $684,208.55. </w:t>
            </w: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dentro del programa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Prodder</w:t>
            </w:r>
            <w:proofErr w:type="spellEnd"/>
          </w:p>
          <w:p w:rsidR="004D4251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Reposición de 130.50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de subcolector de 18” en Ave.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Sidermex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entre calles Oscar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Jorge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Col. Obreras Sur 2º. Sector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., con una inversión de $779,523.38. </w:t>
            </w:r>
          </w:p>
          <w:p w:rsidR="000F7CED" w:rsidRDefault="000F7CED" w:rsidP="00AC0D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Reubicación de redes de agua: 28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de 4”, 24:00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de 6” y 24:00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de 8” ubicadas en puente de Estancias de Santa Ana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., con una inversión de $509,020.50. 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Enero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Técnica.</w:t>
            </w: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highlight w:val="yellow"/>
                <w:lang w:val="es-MX"/>
              </w:rPr>
            </w:pPr>
          </w:p>
          <w:p w:rsidR="000F7CED" w:rsidRPr="00D25952" w:rsidRDefault="000F7CED" w:rsidP="00AC0D6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Lic. Esteban M. Blackaller Rosas: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Si no hay otro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tema 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tratar, se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dá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por concluida ésta sesión de Consejo.</w:t>
            </w:r>
          </w:p>
          <w:p w:rsidR="000F7CED" w:rsidRPr="00D25952" w:rsidRDefault="000F7CED" w:rsidP="00AC0D6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F7CED" w:rsidRPr="00D25952" w:rsidRDefault="000F7CED" w:rsidP="001D655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Habiéndose agotado y resuelto los asuntos contenidos en la Orden del día y no habiendo otra cosa que tratar, siendo las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10:05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intervinieron.</w:t>
            </w:r>
            <w:bookmarkStart w:id="0" w:name="_GoBack"/>
            <w:bookmarkEnd w:id="0"/>
          </w:p>
        </w:tc>
      </w:tr>
    </w:tbl>
    <w:p w:rsidR="006967E9" w:rsidRDefault="006967E9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sectPr w:rsidR="000F7CED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8F" w:rsidRDefault="00B13C8F">
      <w:r>
        <w:separator/>
      </w:r>
    </w:p>
  </w:endnote>
  <w:endnote w:type="continuationSeparator" w:id="0">
    <w:p w:rsidR="00B13C8F" w:rsidRDefault="00B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8F" w:rsidRDefault="00B13C8F">
      <w:r>
        <w:separator/>
      </w:r>
    </w:p>
  </w:footnote>
  <w:footnote w:type="continuationSeparator" w:id="0">
    <w:p w:rsidR="00B13C8F" w:rsidRDefault="00B1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554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C8F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A2A6-B803-4ABB-89B9-937CFF6A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1087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  <vt:lpstr>ORDEN DEL DIA:</vt:lpstr>
    </vt:vector>
  </TitlesOfParts>
  <Company>SIMAS MONCLOVA FRONTERA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Manuela Margarita Lopez Nañez</cp:lastModifiedBy>
  <cp:revision>264</cp:revision>
  <cp:lastPrinted>2014-10-30T19:00:00Z</cp:lastPrinted>
  <dcterms:created xsi:type="dcterms:W3CDTF">2014-10-31T20:10:00Z</dcterms:created>
  <dcterms:modified xsi:type="dcterms:W3CDTF">2017-04-10T19:20:00Z</dcterms:modified>
</cp:coreProperties>
</file>