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EF" w:rsidRPr="00D25952" w:rsidRDefault="008205EF" w:rsidP="008205EF">
      <w:pPr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En el Hotel Fiesta </w:t>
      </w:r>
      <w:proofErr w:type="spellStart"/>
      <w:r w:rsidRPr="00D25952">
        <w:rPr>
          <w:rFonts w:ascii="Arial" w:hAnsi="Arial" w:cs="Arial"/>
          <w:sz w:val="22"/>
          <w:szCs w:val="22"/>
        </w:rPr>
        <w:t>Inn</w:t>
      </w:r>
      <w:proofErr w:type="spellEnd"/>
      <w:r w:rsidRPr="00D25952">
        <w:rPr>
          <w:rFonts w:ascii="Arial" w:hAnsi="Arial" w:cs="Arial"/>
          <w:sz w:val="22"/>
          <w:szCs w:val="22"/>
        </w:rPr>
        <w:t xml:space="preserve"> de La ciudad de Monclova, Coahuila de Zaragoza siendo las 9</w:t>
      </w:r>
      <w:r>
        <w:rPr>
          <w:rFonts w:ascii="Arial" w:hAnsi="Arial" w:cs="Arial"/>
          <w:sz w:val="22"/>
          <w:szCs w:val="22"/>
        </w:rPr>
        <w:t>:22</w:t>
      </w:r>
      <w:r w:rsidRPr="00D25952">
        <w:rPr>
          <w:rFonts w:ascii="Arial" w:hAnsi="Arial" w:cs="Arial"/>
          <w:sz w:val="22"/>
          <w:szCs w:val="22"/>
        </w:rPr>
        <w:t xml:space="preserve"> horas del </w:t>
      </w:r>
      <w:proofErr w:type="gramStart"/>
      <w:r w:rsidRPr="00D25952">
        <w:rPr>
          <w:rFonts w:ascii="Arial" w:hAnsi="Arial" w:cs="Arial"/>
          <w:sz w:val="22"/>
          <w:szCs w:val="22"/>
        </w:rPr>
        <w:t xml:space="preserve">día </w:t>
      </w:r>
      <w:r w:rsidRPr="00D2595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iércoles</w:t>
      </w:r>
      <w:r w:rsidRPr="00D25952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>2</w:t>
      </w:r>
      <w:r w:rsidRPr="00D25952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Marzo</w:t>
      </w:r>
      <w:proofErr w:type="gramEnd"/>
      <w:r w:rsidRPr="00D25952">
        <w:rPr>
          <w:rFonts w:ascii="Arial" w:hAnsi="Arial" w:cs="Arial"/>
          <w:b/>
          <w:sz w:val="22"/>
          <w:szCs w:val="22"/>
        </w:rPr>
        <w:t xml:space="preserve"> de 2017,</w:t>
      </w:r>
      <w:r w:rsidRPr="00D25952">
        <w:rPr>
          <w:rFonts w:ascii="Arial" w:hAnsi="Arial" w:cs="Arial"/>
          <w:sz w:val="22"/>
          <w:szCs w:val="22"/>
        </w:rPr>
        <w:t xml:space="preserve"> se reunieron los C. Lic. Gerardo García Castillo, Lic. Amador Moreno López, Ing. Carlos R. Rodriguez Gallegos, Ing. Arturo Castellanos Cruz, </w:t>
      </w:r>
      <w:r>
        <w:rPr>
          <w:rFonts w:ascii="Arial" w:hAnsi="Arial" w:cs="Arial"/>
          <w:sz w:val="22"/>
          <w:szCs w:val="22"/>
        </w:rPr>
        <w:t xml:space="preserve">Lic. Omar Díaz Mirón Rodríguez, </w:t>
      </w:r>
      <w:r w:rsidRPr="00D25952">
        <w:rPr>
          <w:rFonts w:ascii="Arial" w:hAnsi="Arial" w:cs="Arial"/>
          <w:sz w:val="22"/>
          <w:szCs w:val="22"/>
        </w:rPr>
        <w:t xml:space="preserve">Lic. Adalberto Varela Armendáriz, Ing. Raúl Eduardo Fuentes Hernández, Ing. Antonio Álvarez Rodriguez, </w:t>
      </w:r>
      <w:r>
        <w:rPr>
          <w:rFonts w:ascii="Arial" w:hAnsi="Arial" w:cs="Arial"/>
          <w:sz w:val="22"/>
          <w:szCs w:val="22"/>
        </w:rPr>
        <w:t xml:space="preserve">Ing. Rogelio Collazo Ramírez, Dr. Mario Jesús Castañeda Carrizal, </w:t>
      </w:r>
      <w:r w:rsidRPr="00D25952">
        <w:rPr>
          <w:rFonts w:ascii="Arial" w:hAnsi="Arial" w:cs="Arial"/>
          <w:sz w:val="22"/>
          <w:szCs w:val="22"/>
        </w:rPr>
        <w:t xml:space="preserve">Lic. Esteban Martín Blackaller Rosas, Lic. Ricardo Gutiérrez González, </w:t>
      </w:r>
      <w:r>
        <w:rPr>
          <w:rFonts w:ascii="Arial" w:hAnsi="Arial" w:cs="Arial"/>
          <w:sz w:val="22"/>
          <w:szCs w:val="22"/>
        </w:rPr>
        <w:t xml:space="preserve">C. Agustín Ramos Pérez, </w:t>
      </w:r>
      <w:r w:rsidRPr="00D25952">
        <w:rPr>
          <w:rFonts w:ascii="Arial" w:hAnsi="Arial" w:cs="Arial"/>
          <w:sz w:val="22"/>
          <w:szCs w:val="22"/>
        </w:rPr>
        <w:t xml:space="preserve">Lic. Baltazar Cisneros Ortiz, C. Julio Alonso Martín Vidal,  Ing. Andrés </w:t>
      </w:r>
      <w:proofErr w:type="spellStart"/>
      <w:r w:rsidRPr="00D25952">
        <w:rPr>
          <w:rFonts w:ascii="Arial" w:hAnsi="Arial" w:cs="Arial"/>
          <w:sz w:val="22"/>
          <w:szCs w:val="22"/>
        </w:rPr>
        <w:t>Oyervides</w:t>
      </w:r>
      <w:proofErr w:type="spellEnd"/>
      <w:r w:rsidRPr="00D25952">
        <w:rPr>
          <w:rFonts w:ascii="Arial" w:hAnsi="Arial" w:cs="Arial"/>
          <w:sz w:val="22"/>
          <w:szCs w:val="22"/>
        </w:rPr>
        <w:t xml:space="preserve"> Ramírez, C. Pedro Carreón Rodríguez, </w:t>
      </w:r>
      <w:r>
        <w:rPr>
          <w:rFonts w:ascii="Arial" w:hAnsi="Arial" w:cs="Arial"/>
          <w:sz w:val="22"/>
          <w:szCs w:val="22"/>
        </w:rPr>
        <w:t xml:space="preserve">y el </w:t>
      </w:r>
      <w:r w:rsidRPr="00D25952">
        <w:rPr>
          <w:rFonts w:ascii="Arial" w:hAnsi="Arial" w:cs="Arial"/>
          <w:sz w:val="22"/>
          <w:szCs w:val="22"/>
        </w:rPr>
        <w:t>C.P.C. Juan Carlos Terrazas Hernández,  todos miembros del Consejo Directivo del SIMAS y por parte del Sistema el Ing. Mario Eduardo Zamudio Miechielsen en su carácter de Gerente así como invitados especiales los señores: Romeo Villareal Thomae, C.P. Jesús Teodoro Mesón Haro, Ing. José Abel de Luna Romo e Ing. Ricardo Vázquez Falcón, a efecto de llevar a cabo la Sesión del Consejo Directivo del Sistema Intermunicipal de Aguas y Saneamiento de Monclova y Frontera, Coahuila bajo el siguiente:</w:t>
      </w:r>
    </w:p>
    <w:p w:rsidR="008205EF" w:rsidRDefault="008205EF" w:rsidP="008205EF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</w:p>
    <w:p w:rsidR="008205EF" w:rsidRPr="00D25952" w:rsidRDefault="008205EF" w:rsidP="008205EF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8205EF" w:rsidRPr="00D25952" w:rsidRDefault="008205EF" w:rsidP="008205EF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8205EF" w:rsidRPr="00D25952" w:rsidRDefault="008205EF" w:rsidP="008205EF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2.- Bienvenida por el Presidente del Consejo, Lic. Gerardo García Castillo.</w:t>
      </w:r>
    </w:p>
    <w:p w:rsidR="008205EF" w:rsidRPr="00D25952" w:rsidRDefault="008205EF" w:rsidP="008205EF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   3.-  Lectura del Orden del día por el Secretario Lic. Esteban Martín Blackaller Rosas.</w:t>
      </w:r>
    </w:p>
    <w:p w:rsidR="008205EF" w:rsidRPr="00D25952" w:rsidRDefault="008205EF" w:rsidP="008205EF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4.- Lectura del acta anterior y acuerdos por el Lic. Esteban Martín Blackaller Rosas. Informe de actividades correspondiente al mes de </w:t>
      </w:r>
      <w:r w:rsidRPr="00254D45">
        <w:rPr>
          <w:rFonts w:ascii="Arial" w:hAnsi="Arial" w:cs="Arial"/>
          <w:b/>
          <w:sz w:val="22"/>
          <w:szCs w:val="22"/>
          <w:u w:val="single"/>
        </w:rPr>
        <w:t xml:space="preserve">Febrero </w:t>
      </w:r>
      <w:r w:rsidRPr="00076B70">
        <w:rPr>
          <w:rFonts w:ascii="Arial" w:hAnsi="Arial" w:cs="Arial"/>
          <w:b/>
          <w:sz w:val="22"/>
          <w:szCs w:val="22"/>
          <w:u w:val="single"/>
        </w:rPr>
        <w:t>del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D25952">
        <w:rPr>
          <w:rFonts w:ascii="Arial" w:hAnsi="Arial" w:cs="Arial"/>
          <w:sz w:val="22"/>
          <w:szCs w:val="22"/>
        </w:rPr>
        <w:t xml:space="preserve">presentado por la Gerencia. </w:t>
      </w:r>
    </w:p>
    <w:p w:rsidR="008205EF" w:rsidRPr="00D25952" w:rsidRDefault="008205EF" w:rsidP="008205EF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8205EF" w:rsidRPr="00D25952" w:rsidRDefault="008205EF" w:rsidP="008205EF">
      <w:pPr>
        <w:ind w:left="360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6.-Asuntos Generales:</w:t>
      </w:r>
    </w:p>
    <w:p w:rsidR="008205EF" w:rsidRPr="00D25952" w:rsidRDefault="008205EF" w:rsidP="008205EF">
      <w:pPr>
        <w:pStyle w:val="Sangra2detindependiente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Recorrido del arroyo Frontera.</w:t>
      </w:r>
    </w:p>
    <w:p w:rsidR="008205EF" w:rsidRPr="00D25952" w:rsidRDefault="008205EF" w:rsidP="008205EF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>Lic. Esteban M. Blackaller Rosas: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D25952">
        <w:rPr>
          <w:rFonts w:ascii="Arial" w:hAnsi="Arial" w:cs="Arial"/>
          <w:sz w:val="22"/>
          <w:szCs w:val="22"/>
        </w:rPr>
        <w:t xml:space="preserve">Buenos días </w:t>
      </w:r>
      <w:r>
        <w:rPr>
          <w:rFonts w:ascii="Arial" w:hAnsi="Arial" w:cs="Arial"/>
          <w:sz w:val="22"/>
          <w:szCs w:val="22"/>
        </w:rPr>
        <w:t>en vista de que hay quórum legal y suficiente para</w:t>
      </w:r>
      <w:r w:rsidRPr="00D25952">
        <w:rPr>
          <w:rFonts w:ascii="Arial" w:hAnsi="Arial" w:cs="Arial"/>
          <w:sz w:val="22"/>
          <w:szCs w:val="22"/>
        </w:rPr>
        <w:t xml:space="preserve"> dar inicio a la sesión de Consejo de Simas, iniciamos con la bienvenida por parte del presidente del Consejo Lic. Gerardo García Castillo.</w:t>
      </w:r>
    </w:p>
    <w:p w:rsidR="008205EF" w:rsidRPr="00D25952" w:rsidRDefault="008205EF" w:rsidP="008205EF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8205EF" w:rsidRDefault="008205EF" w:rsidP="008205EF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</w:rPr>
        <w:t>Lic.  Gerardo García Castillo: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Bienvenidos a todos ustedes a esta sesión de consejo para el informe de avances de gestión financiera, administrativa, comercial  y técnica.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376"/>
        <w:gridCol w:w="271"/>
      </w:tblGrid>
      <w:tr w:rsidR="008205EF" w:rsidRPr="00D25952" w:rsidTr="005015E2">
        <w:trPr>
          <w:gridBefore w:val="1"/>
          <w:gridAfter w:val="1"/>
          <w:wBefore w:w="354" w:type="dxa"/>
          <w:wAfter w:w="271" w:type="dxa"/>
          <w:trHeight w:val="37"/>
        </w:trPr>
        <w:tc>
          <w:tcPr>
            <w:tcW w:w="8376" w:type="dxa"/>
          </w:tcPr>
          <w:p w:rsidR="008205EF" w:rsidRPr="00D25952" w:rsidRDefault="008205EF" w:rsidP="005015E2">
            <w:pPr>
              <w:pStyle w:val="Prrafodelista"/>
              <w:ind w:left="425"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05EF" w:rsidRPr="00D25952" w:rsidTr="005015E2">
        <w:trPr>
          <w:trHeight w:val="37"/>
        </w:trPr>
        <w:tc>
          <w:tcPr>
            <w:tcW w:w="8931" w:type="dxa"/>
            <w:gridSpan w:val="3"/>
          </w:tcPr>
          <w:p w:rsidR="008205EF" w:rsidRPr="00D25952" w:rsidRDefault="008205EF" w:rsidP="005015E2">
            <w:pPr>
              <w:pStyle w:val="Prrafodelista"/>
              <w:ind w:left="425" w:right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Lic. Esteban M. Blackaller Rosas: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</w:rPr>
              <w:t xml:space="preserve">Continuando con el orden del día pasamos al punto número tres lectura del orden del día por su servidor, punto cuatro lectura de acta anterior y acuerdos, dado lo anterior y aprobado por los miembros del Consejo Directivo de SIMAS Monclova-Frontera, pasamos al punto número cinco que es información de actividades del mes de </w:t>
            </w:r>
            <w:r w:rsidRPr="00254D45">
              <w:rPr>
                <w:rFonts w:ascii="Arial" w:hAnsi="Arial" w:cs="Arial"/>
                <w:b/>
                <w:sz w:val="22"/>
                <w:szCs w:val="22"/>
                <w:u w:val="single"/>
              </w:rPr>
              <w:t>Febrero</w:t>
            </w:r>
            <w:r w:rsidRPr="00D2595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D25952">
              <w:rPr>
                <w:rFonts w:ascii="Arial" w:hAnsi="Arial" w:cs="Arial"/>
                <w:sz w:val="22"/>
                <w:szCs w:val="22"/>
              </w:rPr>
              <w:t>niciando por la Subgerencia Comercial:</w:t>
            </w:r>
          </w:p>
          <w:p w:rsidR="008205EF" w:rsidRPr="00D25952" w:rsidRDefault="008205EF" w:rsidP="005015E2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8205EF" w:rsidRPr="00D25952" w:rsidRDefault="008205EF" w:rsidP="005015E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Sr. Romeo Villarreal Thomae, presentó el informe del área Comercial correspondiente al mes de </w:t>
            </w:r>
            <w:r w:rsidRPr="00E5203F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Febrero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8205EF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El ingreso de agua y drenaje sin IVA </w:t>
            </w:r>
            <w:r w:rsidR="00ED2FF9">
              <w:rPr>
                <w:rFonts w:ascii="Arial" w:hAnsi="Arial" w:cs="Arial"/>
                <w:sz w:val="22"/>
                <w:szCs w:val="22"/>
                <w:lang w:val="es-MX"/>
              </w:rPr>
              <w:t xml:space="preserve">fue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$14,102,000.00 </w:t>
            </w:r>
          </w:p>
          <w:p w:rsidR="008205EF" w:rsidRDefault="00C22E84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Los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 usuarios cumplidos por trimestre termin</w:t>
            </w:r>
            <w:r w:rsidR="00ED2FF9">
              <w:rPr>
                <w:rFonts w:ascii="Arial" w:hAnsi="Arial" w:cs="Arial"/>
                <w:sz w:val="22"/>
                <w:szCs w:val="22"/>
                <w:lang w:val="es-MX"/>
              </w:rPr>
              <w:t>aron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un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 80.24%.</w:t>
            </w:r>
            <w:bookmarkStart w:id="0" w:name="_GoBack"/>
            <w:bookmarkEnd w:id="0"/>
          </w:p>
          <w:p w:rsidR="008205EF" w:rsidRDefault="00612146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 continúa co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los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 Programa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>SimasContigo</w:t>
            </w:r>
            <w:proofErr w:type="spellEnd"/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y Cultura del Agua asistiendo a las colonias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 Aeropuerto de Cd. Frontera, en </w:t>
            </w:r>
            <w:proofErr w:type="spellStart"/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>Fracc</w:t>
            </w:r>
            <w:proofErr w:type="spellEnd"/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>. Del Río y Los 90´s en Monclova.</w:t>
            </w:r>
          </w:p>
          <w:p w:rsidR="008205EF" w:rsidRDefault="008205EF" w:rsidP="005015E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205EF" w:rsidRPr="00D25952" w:rsidRDefault="008205EF" w:rsidP="005015E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254D45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Febrero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de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201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comercial.</w:t>
            </w:r>
          </w:p>
          <w:p w:rsidR="008205EF" w:rsidRDefault="008205EF" w:rsidP="005015E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205EF" w:rsidRDefault="008205EF" w:rsidP="005015E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C.P. Jesús Mesón Haro, presentó informe del área de Administración y Finanzas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Febrero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8205EF" w:rsidRPr="005475AE" w:rsidRDefault="008205EF" w:rsidP="005475A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7079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El Estado de actividades acumulado al mes de febrero de 2017:</w:t>
            </w:r>
            <w:r w:rsidR="005475AE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="005475AE" w:rsidRPr="005475AE">
              <w:rPr>
                <w:rFonts w:ascii="Arial" w:hAnsi="Arial" w:cs="Arial"/>
                <w:sz w:val="22"/>
                <w:szCs w:val="22"/>
                <w:lang w:val="es-MX"/>
              </w:rPr>
              <w:t xml:space="preserve">terminó con un resultado del ejercicio </w:t>
            </w:r>
            <w:r w:rsidRPr="005475AE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proofErr w:type="gramStart"/>
            <w:r w:rsidRPr="005475AE">
              <w:rPr>
                <w:rFonts w:ascii="Arial" w:hAnsi="Arial" w:cs="Arial"/>
                <w:sz w:val="22"/>
                <w:szCs w:val="22"/>
                <w:lang w:val="es-MX"/>
              </w:rPr>
              <w:t>ahorro )</w:t>
            </w:r>
            <w:proofErr w:type="gramEnd"/>
            <w:r w:rsidRPr="005475AE">
              <w:rPr>
                <w:rFonts w:ascii="Arial" w:hAnsi="Arial" w:cs="Arial"/>
                <w:sz w:val="22"/>
                <w:szCs w:val="22"/>
                <w:lang w:val="es-MX"/>
              </w:rPr>
              <w:t xml:space="preserve"> de $400,000. </w:t>
            </w:r>
          </w:p>
          <w:p w:rsidR="008205EF" w:rsidRPr="00D25952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El Estado de Actividades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comparado el mes de febrero del 2016 contra el 2017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:rsidR="008205EF" w:rsidRDefault="0010483C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 obtuvo </w:t>
            </w:r>
            <w:r w:rsidR="008205EF" w:rsidRPr="00D25952">
              <w:rPr>
                <w:rFonts w:ascii="Arial" w:hAnsi="Arial" w:cs="Arial"/>
                <w:sz w:val="22"/>
                <w:szCs w:val="22"/>
                <w:lang w:val="es-MX"/>
              </w:rPr>
              <w:t>un Resu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ltado positivo del ejercicio del mes de febrero de 2017 de $400,000., y mismo mes del 2016 de </w:t>
            </w:r>
            <w:r w:rsidR="008205EF" w:rsidRPr="00D25952">
              <w:rPr>
                <w:rFonts w:ascii="Arial" w:hAnsi="Arial" w:cs="Arial"/>
                <w:sz w:val="22"/>
                <w:szCs w:val="22"/>
                <w:lang w:val="es-MX"/>
              </w:rPr>
              <w:t>$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proofErr w:type="gramStart"/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>,169,000</w:t>
            </w:r>
            <w:proofErr w:type="gramEnd"/>
            <w:r w:rsidR="008205EF"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8205EF" w:rsidRPr="000B4DAB" w:rsidRDefault="008205EF" w:rsidP="005015E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0B4DA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lastRenderedPageBreak/>
              <w:t>El comparativo de ingresos de febrero 2016 y febrero 2017:</w:t>
            </w:r>
          </w:p>
          <w:p w:rsidR="008205EF" w:rsidRPr="00D25952" w:rsidRDefault="000801E8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 obtuvieron un 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>total de ingresos netos de $16</w:t>
            </w:r>
            <w:proofErr w:type="gramStart"/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>,876,000</w:t>
            </w:r>
            <w:proofErr w:type="gramEnd"/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>., contra el 2016 de $17,060,000.</w:t>
            </w:r>
          </w:p>
          <w:p w:rsidR="008205EF" w:rsidRPr="00D25952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Flujo en Efectivo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febrero del 2017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10483C">
              <w:rPr>
                <w:rFonts w:ascii="Arial" w:hAnsi="Arial" w:cs="Arial"/>
                <w:sz w:val="22"/>
                <w:szCs w:val="22"/>
                <w:lang w:val="es-MX"/>
              </w:rPr>
              <w:t xml:space="preserve">terminó al final del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periodo en caja y bancos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10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,781,000</w:t>
            </w:r>
            <w:proofErr w:type="gram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8205EF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Situación Financiera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</w:t>
            </w:r>
            <w:r w:rsidR="0010483C">
              <w:rPr>
                <w:rFonts w:ascii="Arial" w:hAnsi="Arial" w:cs="Arial"/>
                <w:sz w:val="22"/>
                <w:szCs w:val="22"/>
                <w:lang w:val="es-MX"/>
              </w:rPr>
              <w:t xml:space="preserve">se obtuvo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un total de Pasivo y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347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,779,000</w:t>
            </w:r>
            <w:proofErr w:type="gram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8205EF" w:rsidRDefault="008205EF" w:rsidP="005015E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205EF" w:rsidRPr="00D25952" w:rsidRDefault="008205EF" w:rsidP="00850EFF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metió 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votación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los miembros del </w:t>
            </w:r>
            <w:r w:rsidRPr="00DB1911">
              <w:rPr>
                <w:rFonts w:ascii="Arial" w:hAnsi="Arial" w:cs="Arial"/>
                <w:b/>
                <w:sz w:val="22"/>
                <w:szCs w:val="22"/>
                <w:lang w:val="es-MX"/>
              </w:rPr>
              <w:t>Consejo Directivo la información de actividades correspondiente al mes</w:t>
            </w:r>
            <w:r w:rsidRPr="00DB191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de Febrero de 2017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área de Administración y Finanzas, lo cual fue aprobado por unanimidad.</w:t>
            </w:r>
          </w:p>
        </w:tc>
      </w:tr>
      <w:tr w:rsidR="008205EF" w:rsidRPr="00D25952" w:rsidTr="005015E2">
        <w:tblPrEx>
          <w:tblLook w:val="0000" w:firstRow="0" w:lastRow="0" w:firstColumn="0" w:lastColumn="0" w:noHBand="0" w:noVBand="0"/>
        </w:tblPrEx>
        <w:trPr>
          <w:gridAfter w:val="1"/>
          <w:wAfter w:w="271" w:type="dxa"/>
          <w:trHeight w:val="37"/>
        </w:trPr>
        <w:tc>
          <w:tcPr>
            <w:tcW w:w="8660" w:type="dxa"/>
            <w:gridSpan w:val="2"/>
          </w:tcPr>
          <w:p w:rsidR="008205EF" w:rsidRPr="00D25952" w:rsidRDefault="008205EF" w:rsidP="005015E2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05EF" w:rsidRPr="00D25952" w:rsidTr="005015E2">
        <w:tblPrEx>
          <w:tblLook w:val="0000" w:firstRow="0" w:lastRow="0" w:firstColumn="0" w:lastColumn="0" w:noHBand="0" w:noVBand="0"/>
        </w:tblPrEx>
        <w:trPr>
          <w:trHeight w:val="37"/>
        </w:trPr>
        <w:tc>
          <w:tcPr>
            <w:tcW w:w="8931" w:type="dxa"/>
            <w:gridSpan w:val="3"/>
          </w:tcPr>
          <w:p w:rsidR="008205EF" w:rsidRPr="00D25952" w:rsidRDefault="008205EF" w:rsidP="005015E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José Abel de Luna Romo, presentó el informe del área Técnica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Febrero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8205EF" w:rsidRDefault="008205EF" w:rsidP="005015E2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del mes fue de 2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,841,207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8205EF" w:rsidRDefault="008205EF" w:rsidP="00574A6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consumo de energía fue de 1,352,207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8205EF" w:rsidRDefault="00574A6E" w:rsidP="00574A6E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L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a eficiencia técnica real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fue </w:t>
            </w:r>
            <w:r w:rsidR="008205EF">
              <w:rPr>
                <w:rFonts w:ascii="Arial" w:hAnsi="Arial" w:cs="Arial"/>
                <w:sz w:val="22"/>
                <w:szCs w:val="22"/>
                <w:lang w:val="es-MX"/>
              </w:rPr>
              <w:t xml:space="preserve">de 68% </w:t>
            </w:r>
          </w:p>
          <w:p w:rsidR="008205EF" w:rsidRPr="00373C62" w:rsidRDefault="008205EF" w:rsidP="005015E2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 w:rsidRPr="0084566F">
              <w:rPr>
                <w:rFonts w:ascii="Arial" w:hAnsi="Arial" w:cs="Arial"/>
                <w:sz w:val="22"/>
                <w:szCs w:val="22"/>
                <w:lang w:val="es-MX"/>
              </w:rPr>
              <w:t>En cuanto 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373C6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proceso:</w:t>
            </w:r>
          </w:p>
          <w:p w:rsidR="00574A6E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Reubicación de  redes de agua: 28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4”, 24:00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6” y 24:00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8” ubicadas en puente de Estancias de Santa Ana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574A6E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200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 calle Americana entre calle Cuauhtémoc y Priv.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Fco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I. Madero en Frontera,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8205EF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Construcción de caseta de control, rehabilitación de caseta de vigilancia y construcción de firme para acceso de pipas en cárcamo Inversora Industrial en Frontera,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Reposición de 120.40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 en calle Villa Latina entre calles Obrero Unido y Valle del Sor, Col. Praderas del Sur 3er. Sector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8205EF" w:rsidRPr="00D25952" w:rsidRDefault="008205EF" w:rsidP="005015E2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Obras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Concluídas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:</w:t>
            </w:r>
          </w:p>
          <w:p w:rsidR="00574A6E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1,200.00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línea de agua de 8” a la altura de la Col. PEMEX y Refinería PEMEX paralelo al arroyo Monclova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574A6E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130.50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subcolector de 18” en Ave.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Sidermex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entre calles Oscar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Neebe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Jorge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Engel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, Col. Obrera Sur 2º. Sector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8205EF" w:rsidRDefault="008205EF" w:rsidP="00574A6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120.40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y descargas encalle Villa Latina entre calles Obrero Unido y Valle del Sur, Col. Praderas d3el Sur 3er Sector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</w:p>
          <w:p w:rsidR="00574A6E" w:rsidRDefault="00574A6E" w:rsidP="00574A6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205EF" w:rsidRDefault="008205EF" w:rsidP="005015E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853100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Febrero de 2017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Técnica.</w:t>
            </w:r>
          </w:p>
          <w:p w:rsidR="008205EF" w:rsidRDefault="008205EF" w:rsidP="005015E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205EF" w:rsidRPr="00574A6E" w:rsidRDefault="00574A6E" w:rsidP="00574A6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 </w:t>
            </w:r>
            <w:r w:rsidR="008205EF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Asuntos Generales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574A6E">
              <w:rPr>
                <w:rFonts w:ascii="Arial" w:hAnsi="Arial" w:cs="Arial"/>
                <w:sz w:val="22"/>
                <w:szCs w:val="22"/>
                <w:lang w:val="es-MX"/>
              </w:rPr>
              <w:t xml:space="preserve">el Ing. Ricardo Vázquez Falcón mencionó acerca del recorrido hecho al arroyo Frontera con la participación de los departamentos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de Ecología Monclova y Frontera.</w:t>
            </w:r>
          </w:p>
          <w:p w:rsidR="008205EF" w:rsidRDefault="008205EF" w:rsidP="005015E2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205EF" w:rsidRPr="00D25952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Habiéndose agotado y resuelto los asuntos contenidos en la Orden del día y no habiendo otra cosa que tratar, siendo las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11:05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horas se da por terminada la presente Sesión del Consejo Directivo, levantando la presente acta y firmándola en esta misma fecha como constancia los que en ella intervinieron.</w:t>
            </w:r>
          </w:p>
          <w:p w:rsidR="008205EF" w:rsidRPr="00D25952" w:rsidRDefault="008205EF" w:rsidP="005015E2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8205EF" w:rsidRDefault="008205EF" w:rsidP="000F7CED">
      <w:pPr>
        <w:jc w:val="both"/>
        <w:rPr>
          <w:rFonts w:ascii="Arial" w:hAnsi="Arial" w:cs="Arial"/>
          <w:sz w:val="22"/>
          <w:szCs w:val="22"/>
        </w:rPr>
      </w:pPr>
    </w:p>
    <w:p w:rsidR="008205EF" w:rsidRDefault="008205EF" w:rsidP="000F7CED">
      <w:pPr>
        <w:jc w:val="both"/>
        <w:rPr>
          <w:rFonts w:ascii="Arial" w:hAnsi="Arial" w:cs="Arial"/>
          <w:sz w:val="22"/>
          <w:szCs w:val="22"/>
        </w:rPr>
      </w:pPr>
    </w:p>
    <w:p w:rsidR="008205EF" w:rsidRDefault="008205EF" w:rsidP="000F7CED">
      <w:pPr>
        <w:jc w:val="both"/>
        <w:rPr>
          <w:rFonts w:ascii="Arial" w:hAnsi="Arial" w:cs="Arial"/>
          <w:sz w:val="22"/>
          <w:szCs w:val="22"/>
        </w:rPr>
      </w:pPr>
    </w:p>
    <w:p w:rsidR="008205EF" w:rsidRDefault="008205EF" w:rsidP="000F7CED">
      <w:pPr>
        <w:jc w:val="both"/>
        <w:rPr>
          <w:rFonts w:ascii="Arial" w:hAnsi="Arial" w:cs="Arial"/>
          <w:sz w:val="22"/>
          <w:szCs w:val="22"/>
        </w:rPr>
      </w:pPr>
    </w:p>
    <w:p w:rsidR="006967E9" w:rsidRDefault="006967E9" w:rsidP="007C03D6">
      <w:pPr>
        <w:jc w:val="both"/>
        <w:rPr>
          <w:rFonts w:ascii="Arial" w:hAnsi="Arial" w:cs="Arial"/>
          <w:sz w:val="22"/>
          <w:szCs w:val="22"/>
        </w:rPr>
      </w:pPr>
    </w:p>
    <w:p w:rsidR="000F7CED" w:rsidRDefault="000F7CED" w:rsidP="007C03D6">
      <w:pPr>
        <w:jc w:val="both"/>
        <w:rPr>
          <w:rFonts w:ascii="Arial" w:hAnsi="Arial" w:cs="Arial"/>
          <w:sz w:val="22"/>
          <w:szCs w:val="22"/>
        </w:rPr>
      </w:pPr>
    </w:p>
    <w:p w:rsidR="000F7CED" w:rsidRDefault="000F7CED" w:rsidP="007C03D6">
      <w:pPr>
        <w:jc w:val="both"/>
        <w:rPr>
          <w:rFonts w:ascii="Arial" w:hAnsi="Arial" w:cs="Arial"/>
          <w:sz w:val="22"/>
          <w:szCs w:val="22"/>
        </w:rPr>
      </w:pPr>
    </w:p>
    <w:p w:rsidR="000F7CED" w:rsidRDefault="000F7CED" w:rsidP="007C03D6">
      <w:pPr>
        <w:jc w:val="both"/>
        <w:rPr>
          <w:rFonts w:ascii="Arial" w:hAnsi="Arial" w:cs="Arial"/>
          <w:sz w:val="22"/>
          <w:szCs w:val="22"/>
        </w:rPr>
      </w:pPr>
    </w:p>
    <w:p w:rsidR="000F7CED" w:rsidRDefault="000F7CED" w:rsidP="007C03D6">
      <w:pPr>
        <w:jc w:val="both"/>
        <w:rPr>
          <w:rFonts w:ascii="Arial" w:hAnsi="Arial" w:cs="Arial"/>
          <w:sz w:val="22"/>
          <w:szCs w:val="22"/>
        </w:rPr>
      </w:pPr>
    </w:p>
    <w:sectPr w:rsidR="000F7CED" w:rsidSect="00D45A74">
      <w:footerReference w:type="even" r:id="rId9"/>
      <w:footerReference w:type="default" r:id="rId10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9D" w:rsidRDefault="0093749D">
      <w:r>
        <w:separator/>
      </w:r>
    </w:p>
  </w:endnote>
  <w:endnote w:type="continuationSeparator" w:id="0">
    <w:p w:rsidR="0093749D" w:rsidRDefault="0093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9D" w:rsidRDefault="0093749D">
      <w:r>
        <w:separator/>
      </w:r>
    </w:p>
  </w:footnote>
  <w:footnote w:type="continuationSeparator" w:id="0">
    <w:p w:rsidR="0093749D" w:rsidRDefault="0093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D512-F33F-4E00-A0B2-7A8C2726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943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/>
      <vt:lpstr>ORDEN DEL DIA:</vt:lpstr>
    </vt:vector>
  </TitlesOfParts>
  <Company>SIMAS MONCLOVA FRONTERA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276</cp:revision>
  <cp:lastPrinted>2014-10-30T19:00:00Z</cp:lastPrinted>
  <dcterms:created xsi:type="dcterms:W3CDTF">2014-10-31T20:10:00Z</dcterms:created>
  <dcterms:modified xsi:type="dcterms:W3CDTF">2017-04-19T16:34:00Z</dcterms:modified>
</cp:coreProperties>
</file>